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19544" w14:textId="3841FAC9" w:rsidR="008F6371" w:rsidRPr="001131D3" w:rsidRDefault="008F6371" w:rsidP="008F6371">
      <w:pPr>
        <w:pStyle w:val="Header"/>
        <w:tabs>
          <w:tab w:val="right" w:pos="9639"/>
        </w:tabs>
        <w:rPr>
          <w:bCs/>
          <w:noProof w:val="0"/>
          <w:sz w:val="24"/>
          <w:szCs w:val="24"/>
        </w:rPr>
      </w:pPr>
      <w:r w:rsidRPr="001131D3">
        <w:rPr>
          <w:bCs/>
          <w:noProof w:val="0"/>
          <w:sz w:val="24"/>
          <w:szCs w:val="24"/>
        </w:rPr>
        <w:t>3GPP TSG-RAN WG2 Meeting #103bis</w:t>
      </w:r>
      <w:r w:rsidRPr="001131D3">
        <w:rPr>
          <w:bCs/>
          <w:noProof w:val="0"/>
          <w:sz w:val="24"/>
          <w:szCs w:val="24"/>
        </w:rPr>
        <w:tab/>
      </w:r>
      <w:bookmarkStart w:id="0" w:name="_GoBack"/>
      <w:r w:rsidR="00E345F7">
        <w:rPr>
          <w:bCs/>
          <w:noProof w:val="0"/>
          <w:sz w:val="24"/>
          <w:szCs w:val="24"/>
        </w:rPr>
        <w:t>R2-1813930</w:t>
      </w:r>
    </w:p>
    <w:bookmarkEnd w:id="0"/>
    <w:p w14:paraId="52F82ADE" w14:textId="1D3C37B5" w:rsidR="008F6371" w:rsidRDefault="008F6371" w:rsidP="008F6371">
      <w:pPr>
        <w:pStyle w:val="Header"/>
        <w:tabs>
          <w:tab w:val="right" w:pos="9639"/>
        </w:tabs>
        <w:rPr>
          <w:bCs/>
          <w:noProof w:val="0"/>
          <w:sz w:val="24"/>
          <w:szCs w:val="24"/>
        </w:rPr>
      </w:pPr>
      <w:r w:rsidRPr="001131D3">
        <w:rPr>
          <w:bCs/>
          <w:noProof w:val="0"/>
          <w:sz w:val="24"/>
          <w:szCs w:val="24"/>
        </w:rPr>
        <w:t>Chengdu, Chin</w:t>
      </w:r>
      <w:r>
        <w:rPr>
          <w:bCs/>
          <w:noProof w:val="0"/>
          <w:sz w:val="24"/>
          <w:szCs w:val="24"/>
        </w:rPr>
        <w:t xml:space="preserve">a, 8 - 12 October 2018 </w:t>
      </w:r>
      <w:r>
        <w:rPr>
          <w:bCs/>
          <w:noProof w:val="0"/>
          <w:sz w:val="24"/>
          <w:szCs w:val="24"/>
        </w:rPr>
        <w:tab/>
      </w:r>
    </w:p>
    <w:p w14:paraId="49379CFB" w14:textId="77777777" w:rsidR="00CD4C7B" w:rsidRPr="00B266B0" w:rsidRDefault="00CD4C7B" w:rsidP="00CD4C7B">
      <w:pPr>
        <w:pStyle w:val="Header"/>
        <w:rPr>
          <w:bCs/>
          <w:noProof w:val="0"/>
          <w:sz w:val="24"/>
        </w:rPr>
      </w:pPr>
    </w:p>
    <w:p w14:paraId="758E2B30" w14:textId="2051295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0F32">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7B3A3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1988">
        <w:rPr>
          <w:rFonts w:ascii="Arial" w:hAnsi="Arial" w:cs="Arial"/>
          <w:b/>
          <w:bCs/>
          <w:sz w:val="24"/>
        </w:rPr>
        <w:t>RRC processing delay</w:t>
      </w:r>
      <w:r w:rsidR="008E2042">
        <w:rPr>
          <w:rFonts w:ascii="Arial" w:hAnsi="Arial" w:cs="Arial"/>
          <w:b/>
          <w:bCs/>
          <w:sz w:val="24"/>
        </w:rPr>
        <w:t xml:space="preserve"> </w:t>
      </w:r>
      <w:r w:rsidR="00E61093">
        <w:rPr>
          <w:rFonts w:ascii="Arial" w:hAnsi="Arial" w:cs="Arial"/>
          <w:b/>
          <w:bCs/>
          <w:sz w:val="24"/>
        </w:rPr>
        <w:t xml:space="preserve">for </w:t>
      </w:r>
      <w:r w:rsidR="006B6C24">
        <w:rPr>
          <w:rFonts w:ascii="Arial" w:hAnsi="Arial" w:cs="Arial"/>
          <w:b/>
          <w:bCs/>
          <w:sz w:val="24"/>
        </w:rPr>
        <w:t>BWP switching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93D6CC" w14:textId="5568719B" w:rsidR="002E6EFF" w:rsidRDefault="002E6EFF" w:rsidP="00CD4C7B">
      <w:r>
        <w:t>The RRC processing delays are still largely missing from the specifications. Notably, the BWP switching, which is a fundamental part of NR operation, was agreed in RAN1 to be only mandatory to be done via RRC reconfiguration. Since the EN-DC part was already frozen in March 2018, it becomes urgent to ensure that some processing requirements are</w:t>
      </w:r>
      <w:r w:rsidR="00E345F7">
        <w:t xml:space="preserve"> defined</w:t>
      </w:r>
      <w:r>
        <w:t xml:space="preserve"> so implementations can progress. </w:t>
      </w:r>
    </w:p>
    <w:p w14:paraId="2A456100" w14:textId="6454ABC7" w:rsidR="00EE6037" w:rsidRDefault="003513AA" w:rsidP="00CD4C7B">
      <w:r>
        <w:t>T</w:t>
      </w:r>
      <w:r w:rsidR="00FC54F3" w:rsidRPr="00FC54F3">
        <w:t xml:space="preserve">his paper discusses processing delay requirements for </w:t>
      </w:r>
      <w:r w:rsidR="002E6EFF">
        <w:t xml:space="preserve">NR </w:t>
      </w:r>
      <w:r w:rsidR="002E6EFF" w:rsidRPr="002E6EFF">
        <w:rPr>
          <w:i/>
        </w:rPr>
        <w:t>RRCReconfiguration</w:t>
      </w:r>
      <w:r w:rsidR="002E6EFF">
        <w:t xml:space="preserve"> where BWP switching occurs, which is applicable for both EN-DC and NR.</w:t>
      </w:r>
    </w:p>
    <w:p w14:paraId="127ACA6D" w14:textId="58342EC8" w:rsidR="00CD4C7B" w:rsidRPr="006E13D1" w:rsidRDefault="00CD4C7B" w:rsidP="00CD4C7B">
      <w:pPr>
        <w:pStyle w:val="Heading1"/>
      </w:pPr>
      <w:r w:rsidRPr="006E13D1">
        <w:t>2</w:t>
      </w:r>
      <w:r w:rsidRPr="006E13D1">
        <w:tab/>
      </w:r>
      <w:r w:rsidR="00E81A37">
        <w:t>Discussion</w:t>
      </w:r>
    </w:p>
    <w:p w14:paraId="7299AE58" w14:textId="77777777" w:rsidR="002E6EFF" w:rsidRDefault="002E6EFF" w:rsidP="00CD4C7B">
      <w:r>
        <w:t>The BWP switching via RRC has been under heavy discussion since the beginning of 2018 after RAN1 decided to introduce the concept at the last moment. There are currently two signalling methods in place for the reconfiguration (called option 1 and option 2 – see e.g. R2-181xxxx for more details), but it still hasn’t been discussed what are the processing requirements for those cases, despite the topic also being relevant for EN-DC.</w:t>
      </w:r>
    </w:p>
    <w:p w14:paraId="65FA307B" w14:textId="1649902A" w:rsidR="002E6EFF" w:rsidRDefault="002E6EFF" w:rsidP="00CD4C7B">
      <w:r>
        <w:t>Current RRC processing requirements for EN-DC are only done for configurations via LTE, and there are only the processing requirements for cases where NR SCG is established, modified or released, as shown by excerpt from LTE RRC below:</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2E6EFF" w:rsidRPr="002E6EFF" w14:paraId="00B20B77" w14:textId="77777777" w:rsidTr="00695DDF">
        <w:trPr>
          <w:cantSplit/>
          <w:tblHeader/>
        </w:trPr>
        <w:tc>
          <w:tcPr>
            <w:tcW w:w="2070" w:type="dxa"/>
          </w:tcPr>
          <w:p w14:paraId="118C8A57"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Procedure title:</w:t>
            </w:r>
          </w:p>
        </w:tc>
        <w:tc>
          <w:tcPr>
            <w:tcW w:w="1980" w:type="dxa"/>
          </w:tcPr>
          <w:p w14:paraId="57A3F1E3"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E-UTRAN -&gt; UE</w:t>
            </w:r>
          </w:p>
        </w:tc>
        <w:tc>
          <w:tcPr>
            <w:tcW w:w="2340" w:type="dxa"/>
          </w:tcPr>
          <w:p w14:paraId="478379D7"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UE -&gt; E-UTRAN</w:t>
            </w:r>
          </w:p>
        </w:tc>
        <w:tc>
          <w:tcPr>
            <w:tcW w:w="810" w:type="dxa"/>
          </w:tcPr>
          <w:p w14:paraId="19E607EC"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N</w:t>
            </w:r>
          </w:p>
        </w:tc>
        <w:tc>
          <w:tcPr>
            <w:tcW w:w="2430" w:type="dxa"/>
          </w:tcPr>
          <w:p w14:paraId="28CAA1E8" w14:textId="77777777" w:rsidR="002E6EFF" w:rsidRPr="002E6EFF" w:rsidRDefault="002E6EFF" w:rsidP="002E6EFF">
            <w:pPr>
              <w:keepLines/>
              <w:overflowPunct w:val="0"/>
              <w:autoSpaceDE w:val="0"/>
              <w:autoSpaceDN w:val="0"/>
              <w:adjustRightInd w:val="0"/>
              <w:spacing w:after="0"/>
              <w:textAlignment w:val="baseline"/>
              <w:rPr>
                <w:rFonts w:ascii="Arial" w:hAnsi="Arial"/>
                <w:b/>
                <w:sz w:val="18"/>
                <w:lang w:eastAsia="en-GB"/>
              </w:rPr>
            </w:pPr>
            <w:r w:rsidRPr="002E6EFF">
              <w:rPr>
                <w:rFonts w:ascii="Arial" w:hAnsi="Arial"/>
                <w:b/>
                <w:sz w:val="18"/>
                <w:lang w:eastAsia="en-GB"/>
              </w:rPr>
              <w:t>Notes</w:t>
            </w:r>
          </w:p>
        </w:tc>
      </w:tr>
      <w:tr w:rsidR="002E6EFF" w:rsidRPr="002E6EFF" w14:paraId="2F564811" w14:textId="77777777" w:rsidTr="00695DDF">
        <w:trPr>
          <w:cantSplit/>
        </w:trPr>
        <w:tc>
          <w:tcPr>
            <w:tcW w:w="9630" w:type="dxa"/>
            <w:gridSpan w:val="5"/>
          </w:tcPr>
          <w:p w14:paraId="496E80F6"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2E6EFF">
                <w:rPr>
                  <w:rFonts w:ascii="Arial" w:hAnsi="Arial"/>
                  <w:b/>
                  <w:sz w:val="18"/>
                  <w:lang w:eastAsia="en-GB"/>
                </w:rPr>
                <w:t>RRC</w:t>
              </w:r>
            </w:smartTag>
            <w:r w:rsidRPr="002E6EFF">
              <w:rPr>
                <w:rFonts w:ascii="Arial" w:hAnsi="Arial"/>
                <w:b/>
                <w:sz w:val="18"/>
                <w:lang w:eastAsia="en-GB"/>
              </w:rPr>
              <w:t xml:space="preserve"> Connection Control Procedures</w:t>
            </w:r>
          </w:p>
        </w:tc>
      </w:tr>
      <w:tr w:rsidR="002E6EFF" w:rsidRPr="002E6EFF" w14:paraId="7CA4F753" w14:textId="77777777" w:rsidTr="00695DDF">
        <w:trPr>
          <w:cantSplit/>
          <w:trHeight w:val="510"/>
        </w:trPr>
        <w:tc>
          <w:tcPr>
            <w:tcW w:w="2070" w:type="dxa"/>
            <w:tcBorders>
              <w:top w:val="single" w:sz="4" w:space="0" w:color="auto"/>
              <w:left w:val="single" w:sz="4" w:space="0" w:color="auto"/>
              <w:bottom w:val="single" w:sz="4" w:space="0" w:color="auto"/>
              <w:right w:val="single" w:sz="4" w:space="0" w:color="auto"/>
            </w:tcBorders>
          </w:tcPr>
          <w:p w14:paraId="31BBE4D8"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10470917"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03469EF"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45D0C09A"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7479B86C"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r>
      <w:tr w:rsidR="002E6EFF" w:rsidRPr="002E6EFF" w14:paraId="335F3858" w14:textId="77777777" w:rsidTr="00695DDF">
        <w:trPr>
          <w:cantSplit/>
          <w:trHeight w:val="510"/>
        </w:trPr>
        <w:tc>
          <w:tcPr>
            <w:tcW w:w="2070" w:type="dxa"/>
            <w:tcBorders>
              <w:top w:val="single" w:sz="4" w:space="0" w:color="auto"/>
              <w:left w:val="single" w:sz="4" w:space="0" w:color="auto"/>
              <w:bottom w:val="single" w:sz="4" w:space="0" w:color="auto"/>
              <w:right w:val="single" w:sz="4" w:space="0" w:color="auto"/>
            </w:tcBorders>
          </w:tcPr>
          <w:p w14:paraId="5FB1212A"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9522565"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F716510"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4C3EFAB1"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7243703"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r>
      <w:tr w:rsidR="002E6EFF" w:rsidRPr="002E6EFF" w14:paraId="103705ED" w14:textId="77777777" w:rsidTr="00695DDF">
        <w:trPr>
          <w:cantSplit/>
          <w:trHeight w:val="480"/>
        </w:trPr>
        <w:tc>
          <w:tcPr>
            <w:tcW w:w="2070" w:type="dxa"/>
          </w:tcPr>
          <w:p w14:paraId="67016208"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RRC connection re-configuration (intra-LTE mobility with NR SCG establishment/ /modification/release)</w:t>
            </w:r>
          </w:p>
          <w:p w14:paraId="3B1AB37C"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A646914"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w:t>
            </w:r>
          </w:p>
        </w:tc>
        <w:tc>
          <w:tcPr>
            <w:tcW w:w="2340" w:type="dxa"/>
          </w:tcPr>
          <w:p w14:paraId="491FCD40" w14:textId="77777777" w:rsidR="002E6EFF" w:rsidRPr="002E6EFF" w:rsidRDefault="002E6EFF" w:rsidP="002E6EFF">
            <w:pPr>
              <w:keepNext/>
              <w:keepLines/>
              <w:overflowPunct w:val="0"/>
              <w:autoSpaceDE w:val="0"/>
              <w:autoSpaceDN w:val="0"/>
              <w:adjustRightInd w:val="0"/>
              <w:spacing w:after="0"/>
              <w:textAlignment w:val="baseline"/>
              <w:rPr>
                <w:rFonts w:ascii="Arial" w:hAnsi="Arial"/>
                <w:i/>
                <w:sz w:val="18"/>
                <w:lang w:eastAsia="en-GB"/>
              </w:rPr>
            </w:pPr>
            <w:r w:rsidRPr="002E6EFF">
              <w:rPr>
                <w:rFonts w:ascii="Arial" w:hAnsi="Arial"/>
                <w:i/>
                <w:sz w:val="18"/>
                <w:lang w:eastAsia="en-GB"/>
              </w:rPr>
              <w:t>RRCConnectionReconfigurationComplete</w:t>
            </w:r>
          </w:p>
        </w:tc>
        <w:tc>
          <w:tcPr>
            <w:tcW w:w="810" w:type="dxa"/>
          </w:tcPr>
          <w:p w14:paraId="6411F7CD"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r w:rsidRPr="002E6EFF">
              <w:rPr>
                <w:rFonts w:ascii="Arial" w:hAnsi="Arial"/>
                <w:sz w:val="18"/>
                <w:lang w:eastAsia="en-GB"/>
              </w:rPr>
              <w:t>20</w:t>
            </w:r>
          </w:p>
        </w:tc>
        <w:tc>
          <w:tcPr>
            <w:tcW w:w="2430" w:type="dxa"/>
          </w:tcPr>
          <w:p w14:paraId="205C4E5D" w14:textId="77777777" w:rsidR="002E6EFF" w:rsidRPr="002E6EFF" w:rsidRDefault="002E6EFF" w:rsidP="002E6EFF">
            <w:pPr>
              <w:keepNext/>
              <w:keepLines/>
              <w:overflowPunct w:val="0"/>
              <w:autoSpaceDE w:val="0"/>
              <w:autoSpaceDN w:val="0"/>
              <w:adjustRightInd w:val="0"/>
              <w:spacing w:after="0"/>
              <w:textAlignment w:val="baseline"/>
              <w:rPr>
                <w:rFonts w:ascii="Arial" w:hAnsi="Arial"/>
                <w:sz w:val="18"/>
                <w:lang w:eastAsia="en-GB"/>
              </w:rPr>
            </w:pPr>
          </w:p>
        </w:tc>
      </w:tr>
    </w:tbl>
    <w:p w14:paraId="6E5FAEEE" w14:textId="20981CF9" w:rsidR="002E6EFF" w:rsidRDefault="002E6EFF" w:rsidP="00CD4C7B"/>
    <w:p w14:paraId="069C503B" w14:textId="6C2E30A9" w:rsidR="002E6EFF" w:rsidRDefault="002E6EFF" w:rsidP="00CD4C7B">
      <w:r>
        <w:t>However, this only applies for configurations done via LTE, i.e. using SRB1, but nothing has been so far specified about SRB3 processing delays, which could be used for e.g. BWP switching via RRC.</w:t>
      </w:r>
    </w:p>
    <w:p w14:paraId="04B532DE" w14:textId="4F68B539" w:rsidR="002E6EFF" w:rsidRDefault="002E6EFF" w:rsidP="00CD4C7B">
      <w:r w:rsidRPr="002E6EFF">
        <w:rPr>
          <w:b/>
        </w:rPr>
        <w:t>Observation 1:</w:t>
      </w:r>
      <w:r>
        <w:t xml:space="preserve"> The RRC processing delays for SRB3 are completely missing from </w:t>
      </w:r>
      <w:hyperlink r:id="rId13" w:history="1">
        <w:r w:rsidR="00E345F7" w:rsidRPr="00E345F7">
          <w:rPr>
            <w:rStyle w:val="Hyperlink"/>
          </w:rPr>
          <w:t>TS38.331</w:t>
        </w:r>
      </w:hyperlink>
      <w:r>
        <w:t>.</w:t>
      </w:r>
    </w:p>
    <w:p w14:paraId="5681488B" w14:textId="1B9DC582" w:rsidR="00561A5A" w:rsidRPr="00881E27" w:rsidRDefault="00561A5A" w:rsidP="00561A5A">
      <w:r w:rsidRPr="00561A5A">
        <w:rPr>
          <w:b/>
        </w:rPr>
        <w:t>Proposal 1:</w:t>
      </w:r>
      <w:r>
        <w:t xml:space="preserve"> The processing delays for NR RRC reconfiguration also apply for reconfigurations using SRB3.</w:t>
      </w:r>
    </w:p>
    <w:p w14:paraId="7522E392" w14:textId="77777777" w:rsidR="00561A5A" w:rsidRDefault="00561A5A" w:rsidP="00CD4C7B"/>
    <w:p w14:paraId="1B062F91" w14:textId="1C261700" w:rsidR="00881E27" w:rsidRPr="00881E27" w:rsidRDefault="002E6EFF" w:rsidP="00CD4C7B">
      <w:r>
        <w:lastRenderedPageBreak/>
        <w:t xml:space="preserve">As discussed in </w:t>
      </w:r>
      <w:hyperlink r:id="rId14" w:history="1">
        <w:r w:rsidR="009D6D40" w:rsidRPr="009D6D40">
          <w:rPr>
            <w:rStyle w:val="Hyperlink"/>
          </w:rPr>
          <w:t>R2-1814820</w:t>
        </w:r>
      </w:hyperlink>
      <w:r>
        <w:t>, the IMT-2020 places some requirements on the initial access processing delays</w:t>
      </w:r>
      <w:r w:rsidR="00881E27">
        <w:t>, and as it has been &gt;10 years since the inception of the LTE technology, it is expected that the processing power has improved considerably (a blind application of Moore’s law would suggest 10-20-fold increase in processing power). It is true that such L1 procedures may require some more processing power as there is some latency between communicating the desired changes from L3 to L1 and the changes being used, but we would still expect that the RRC processing delays are an order of magnitude smaller. Given this, we think the RRC processing delays for reconfiguration with/wtihout BWP changes could be separated. Given the above discussion, we also propose that for normal RRC reconfigurations without a BWP changes, a latency of 3ms (i.e. reduction of LTE processing time by a factor of 6) could be adopted.</w:t>
      </w:r>
    </w:p>
    <w:p w14:paraId="68EF5981" w14:textId="1D7A8FD1" w:rsidR="00881E27" w:rsidRPr="00881E27" w:rsidRDefault="00881E27" w:rsidP="00323758">
      <w:r>
        <w:rPr>
          <w:b/>
        </w:rPr>
        <w:t xml:space="preserve">Proposal 1: </w:t>
      </w:r>
      <w:r>
        <w:t>Define separate RRC processing delays for RRC reconfigurations with and without BWP switching.</w:t>
      </w:r>
    </w:p>
    <w:p w14:paraId="72B9E61D" w14:textId="508066AA" w:rsidR="00F31368" w:rsidRPr="00881E27" w:rsidRDefault="00881E27" w:rsidP="00323758">
      <w:r>
        <w:rPr>
          <w:b/>
        </w:rPr>
        <w:t>Proposal 2:</w:t>
      </w:r>
      <w:r w:rsidR="000C004C">
        <w:rPr>
          <w:b/>
        </w:rPr>
        <w:t xml:space="preserve"> </w:t>
      </w:r>
      <w:r w:rsidRPr="00881E27">
        <w:t xml:space="preserve">Adopt </w:t>
      </w:r>
      <w:r>
        <w:t>3</w:t>
      </w:r>
      <w:r w:rsidRPr="00881E27">
        <w:t>ms RRC processing delay for RRCReconfiguration without BWP switch.</w:t>
      </w:r>
    </w:p>
    <w:p w14:paraId="26000181" w14:textId="61D1A385" w:rsidR="00212D47" w:rsidRDefault="00881E27" w:rsidP="00212D47">
      <w:r>
        <w:t>It should also be noted that RAN4 is already currently attempting to create teh test cases for BWP switching, but the topic of RRC-based BWP switching has barely been discussed there due to lack of RAN1/RAN2 input. One argument that has been made is that without RRC processing delays, it is not possible to assess how the test cases should be done as it’s not possible to assess whether it’s feasiuble to implement such UEs.</w:t>
      </w:r>
      <w:r w:rsidR="00565E4F">
        <w:t xml:space="preserve"> </w:t>
      </w:r>
    </w:p>
    <w:p w14:paraId="2075AA5F" w14:textId="427B0A8B" w:rsidR="00881E27" w:rsidRDefault="00881E27" w:rsidP="00212D47">
      <w:r w:rsidRPr="00881E27">
        <w:rPr>
          <w:b/>
        </w:rPr>
        <w:t>Observation 2:</w:t>
      </w:r>
      <w:r>
        <w:t xml:space="preserve"> RAN4 requires some understanding of RRC processing delays to create the NR RRM test cases.</w:t>
      </w:r>
    </w:p>
    <w:p w14:paraId="05505F8D" w14:textId="02E4C761" w:rsidR="00881E27" w:rsidRDefault="00881E27" w:rsidP="00212D47">
      <w:r>
        <w:t>Considering all things, we think that an extra 2ms would help with the RRC processing delay when BWP switch is involved, so 3+2=5ms could be sufficient for BWP changes.</w:t>
      </w:r>
    </w:p>
    <w:p w14:paraId="33E98B4C" w14:textId="6D60F56D" w:rsidR="00881E27" w:rsidRPr="00881E27" w:rsidRDefault="000309E9" w:rsidP="00881E27">
      <w:r>
        <w:rPr>
          <w:b/>
        </w:rPr>
        <w:t xml:space="preserve">Proposal </w:t>
      </w:r>
      <w:r w:rsidR="00881E27">
        <w:rPr>
          <w:b/>
        </w:rPr>
        <w:t>3</w:t>
      </w:r>
      <w:r w:rsidR="00212D47">
        <w:rPr>
          <w:b/>
        </w:rPr>
        <w:t xml:space="preserve">: </w:t>
      </w:r>
      <w:r w:rsidR="00881E27" w:rsidRPr="00881E27">
        <w:t>Adopt 5ms RRC processing dela</w:t>
      </w:r>
      <w:r w:rsidR="00881E27">
        <w:t>y for RRCReconfiguration with</w:t>
      </w:r>
      <w:r w:rsidR="00881E27" w:rsidRPr="00881E27">
        <w:t xml:space="preserve"> BWP switch.</w:t>
      </w:r>
    </w:p>
    <w:p w14:paraId="43A12B72" w14:textId="442FE25F" w:rsidR="00CD4C7B" w:rsidRPr="006E13D1" w:rsidRDefault="00E81A37" w:rsidP="00CD4C7B">
      <w:pPr>
        <w:pStyle w:val="Heading1"/>
      </w:pPr>
      <w:r>
        <w:t>3</w:t>
      </w:r>
      <w:r w:rsidR="00CD4C7B" w:rsidRPr="006E13D1">
        <w:tab/>
      </w:r>
      <w:r>
        <w:t>Conclusion</w:t>
      </w:r>
    </w:p>
    <w:p w14:paraId="190C81D1" w14:textId="5E34737A" w:rsidR="00CD4C7B" w:rsidRDefault="00881E27" w:rsidP="00CD4C7B">
      <w:r>
        <w:t>We have discussed the RRC processing delays for BWP switching via RRC, and observed the following</w:t>
      </w:r>
    </w:p>
    <w:p w14:paraId="417640A2" w14:textId="752637B4" w:rsidR="00881E27" w:rsidRDefault="00881E27" w:rsidP="00881E27">
      <w:r w:rsidRPr="002E6EFF">
        <w:rPr>
          <w:b/>
        </w:rPr>
        <w:t>Observation 1:</w:t>
      </w:r>
      <w:r>
        <w:t xml:space="preserve"> The RRC processing delays for SRB3 are completely missing from </w:t>
      </w:r>
      <w:hyperlink r:id="rId15" w:history="1">
        <w:r w:rsidRPr="00E345F7">
          <w:rPr>
            <w:rStyle w:val="Hyperlink"/>
          </w:rPr>
          <w:t>TS38.331</w:t>
        </w:r>
      </w:hyperlink>
      <w:r>
        <w:t>.</w:t>
      </w:r>
    </w:p>
    <w:p w14:paraId="0F614388" w14:textId="77777777" w:rsidR="00881E27" w:rsidRDefault="00881E27" w:rsidP="00881E27">
      <w:r w:rsidRPr="00881E27">
        <w:rPr>
          <w:b/>
        </w:rPr>
        <w:t>Observation 2:</w:t>
      </w:r>
      <w:r>
        <w:t xml:space="preserve"> RAN4 requires some understanding of RRC processing delays to create the NR RRM test cases.</w:t>
      </w:r>
    </w:p>
    <w:p w14:paraId="4032F56D" w14:textId="0522A656" w:rsidR="00881E27" w:rsidRPr="00881E27" w:rsidRDefault="00881E27" w:rsidP="00881E27">
      <w:r w:rsidRPr="00881E27">
        <w:t>Bas</w:t>
      </w:r>
      <w:r>
        <w:t>e</w:t>
      </w:r>
      <w:r w:rsidRPr="00881E27">
        <w:t xml:space="preserve">d on </w:t>
      </w:r>
      <w:r>
        <w:t>these, we propose the following for RRC processing delays for RRC reconfiguration with/without BWP switching.</w:t>
      </w:r>
    </w:p>
    <w:p w14:paraId="6C8DC895" w14:textId="77777777" w:rsidR="00561A5A" w:rsidRPr="00881E27" w:rsidRDefault="00561A5A" w:rsidP="00561A5A">
      <w:r w:rsidRPr="00561A5A">
        <w:rPr>
          <w:b/>
        </w:rPr>
        <w:t>Proposal 1:</w:t>
      </w:r>
      <w:r>
        <w:t xml:space="preserve"> The processing delays for NR RRC reconfiguration also apply for reconfigurations using SRB3.</w:t>
      </w:r>
    </w:p>
    <w:p w14:paraId="545D7C52" w14:textId="35C468D0" w:rsidR="00881E27" w:rsidRPr="00881E27" w:rsidRDefault="00561A5A" w:rsidP="00881E27">
      <w:r>
        <w:rPr>
          <w:b/>
        </w:rPr>
        <w:t>Proposal 2</w:t>
      </w:r>
      <w:r w:rsidR="00881E27">
        <w:rPr>
          <w:b/>
        </w:rPr>
        <w:t xml:space="preserve">: </w:t>
      </w:r>
      <w:r w:rsidR="00881E27">
        <w:t>Define separate RRC processing delays for RRC reconfigurations with and without BWP switching.</w:t>
      </w:r>
    </w:p>
    <w:p w14:paraId="709A5E4A" w14:textId="19C2F2B7" w:rsidR="00881E27" w:rsidRPr="00881E27" w:rsidRDefault="00881E27" w:rsidP="00881E27">
      <w:r>
        <w:rPr>
          <w:b/>
        </w:rPr>
        <w:t xml:space="preserve">Proposal </w:t>
      </w:r>
      <w:r w:rsidR="00561A5A">
        <w:rPr>
          <w:b/>
        </w:rPr>
        <w:t>3</w:t>
      </w:r>
      <w:r>
        <w:rPr>
          <w:b/>
        </w:rPr>
        <w:t xml:space="preserve">: </w:t>
      </w:r>
      <w:r w:rsidRPr="00881E27">
        <w:t xml:space="preserve">Adopt </w:t>
      </w:r>
      <w:r>
        <w:t>3</w:t>
      </w:r>
      <w:r w:rsidRPr="00881E27">
        <w:t>ms RRC processing delay for RRCReconfiguration without BWP switch.</w:t>
      </w:r>
    </w:p>
    <w:p w14:paraId="08AEE880" w14:textId="58035308" w:rsidR="00881E27" w:rsidRDefault="00561A5A" w:rsidP="00881E27">
      <w:r>
        <w:rPr>
          <w:b/>
        </w:rPr>
        <w:t>Proposal 4</w:t>
      </w:r>
      <w:r w:rsidR="00881E27">
        <w:rPr>
          <w:b/>
        </w:rPr>
        <w:t xml:space="preserve">: </w:t>
      </w:r>
      <w:r w:rsidR="00881E27" w:rsidRPr="00881E27">
        <w:t>Adopt 5ms RRC processing dela</w:t>
      </w:r>
      <w:r w:rsidR="00881E27">
        <w:t>y for RRCReconfiguration with</w:t>
      </w:r>
      <w:r w:rsidR="00881E27" w:rsidRPr="00881E27">
        <w:t xml:space="preserve"> BWP switch.</w:t>
      </w:r>
    </w:p>
    <w:p w14:paraId="6259C18F" w14:textId="0874CFD5" w:rsidR="00E81A37" w:rsidRDefault="00E81A37" w:rsidP="00CD4C7B"/>
    <w:p w14:paraId="362C6A33" w14:textId="1D7CC561" w:rsidR="001E537A" w:rsidRPr="00CD4C7B" w:rsidRDefault="002A0128" w:rsidP="00E345F7">
      <w:r>
        <w:t xml:space="preserve">Draft CR capturing the processing time for </w:t>
      </w:r>
      <w:r w:rsidR="00561A5A">
        <w:t xml:space="preserve">these </w:t>
      </w:r>
      <w:r>
        <w:t xml:space="preserve">is provided in </w:t>
      </w:r>
      <w:hyperlink r:id="rId16" w:history="1">
        <w:r w:rsidR="00E345F7" w:rsidRPr="00E345F7">
          <w:rPr>
            <w:rStyle w:val="Hyperlink"/>
          </w:rPr>
          <w:t>R2-1813931</w:t>
        </w:r>
      </w:hyperlink>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7547F" w14:textId="77777777" w:rsidR="00695DDF" w:rsidRDefault="00695DDF">
      <w:r>
        <w:separator/>
      </w:r>
    </w:p>
  </w:endnote>
  <w:endnote w:type="continuationSeparator" w:id="0">
    <w:p w14:paraId="64B5CDDE" w14:textId="77777777" w:rsidR="00695DDF" w:rsidRDefault="00695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1F965" w14:textId="77777777" w:rsidR="00695DDF" w:rsidRDefault="00695DDF">
      <w:r>
        <w:separator/>
      </w:r>
    </w:p>
  </w:footnote>
  <w:footnote w:type="continuationSeparator" w:id="0">
    <w:p w14:paraId="75F0E6D1" w14:textId="77777777" w:rsidR="00695DDF" w:rsidRDefault="00695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58AB"/>
    <w:rsid w:val="000E5002"/>
    <w:rsid w:val="00112F1A"/>
    <w:rsid w:val="0014393F"/>
    <w:rsid w:val="00145075"/>
    <w:rsid w:val="00160829"/>
    <w:rsid w:val="001741A0"/>
    <w:rsid w:val="00175FA0"/>
    <w:rsid w:val="001870F0"/>
    <w:rsid w:val="001906E7"/>
    <w:rsid w:val="00194CD0"/>
    <w:rsid w:val="001B49C9"/>
    <w:rsid w:val="001B728B"/>
    <w:rsid w:val="001C4F79"/>
    <w:rsid w:val="001E3901"/>
    <w:rsid w:val="001E537A"/>
    <w:rsid w:val="001F168B"/>
    <w:rsid w:val="001F7831"/>
    <w:rsid w:val="00204045"/>
    <w:rsid w:val="0020712B"/>
    <w:rsid w:val="00212D47"/>
    <w:rsid w:val="0022606D"/>
    <w:rsid w:val="00231728"/>
    <w:rsid w:val="00236585"/>
    <w:rsid w:val="002747EC"/>
    <w:rsid w:val="002855BF"/>
    <w:rsid w:val="002A0128"/>
    <w:rsid w:val="002B166C"/>
    <w:rsid w:val="002B65E6"/>
    <w:rsid w:val="002D06E0"/>
    <w:rsid w:val="002E6EFF"/>
    <w:rsid w:val="002F0D22"/>
    <w:rsid w:val="00302FE6"/>
    <w:rsid w:val="003172DC"/>
    <w:rsid w:val="00323758"/>
    <w:rsid w:val="00325AE3"/>
    <w:rsid w:val="00325E56"/>
    <w:rsid w:val="00326069"/>
    <w:rsid w:val="003513AA"/>
    <w:rsid w:val="0035462D"/>
    <w:rsid w:val="00364B41"/>
    <w:rsid w:val="003732A6"/>
    <w:rsid w:val="00397C5E"/>
    <w:rsid w:val="003A4E1E"/>
    <w:rsid w:val="003B40AD"/>
    <w:rsid w:val="003C4E37"/>
    <w:rsid w:val="003D3386"/>
    <w:rsid w:val="003E16BE"/>
    <w:rsid w:val="003E7F0E"/>
    <w:rsid w:val="003F4E28"/>
    <w:rsid w:val="004006E8"/>
    <w:rsid w:val="00401855"/>
    <w:rsid w:val="00477455"/>
    <w:rsid w:val="004945ED"/>
    <w:rsid w:val="00495110"/>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5356D"/>
    <w:rsid w:val="00561A5A"/>
    <w:rsid w:val="00565087"/>
    <w:rsid w:val="0056573F"/>
    <w:rsid w:val="00565E4F"/>
    <w:rsid w:val="005730BB"/>
    <w:rsid w:val="005B4BB5"/>
    <w:rsid w:val="005E1DB9"/>
    <w:rsid w:val="006020E1"/>
    <w:rsid w:val="00611566"/>
    <w:rsid w:val="006123DF"/>
    <w:rsid w:val="0064433D"/>
    <w:rsid w:val="00646D99"/>
    <w:rsid w:val="00650F32"/>
    <w:rsid w:val="00656910"/>
    <w:rsid w:val="00695DDF"/>
    <w:rsid w:val="006B6C24"/>
    <w:rsid w:val="006B7E3F"/>
    <w:rsid w:val="006C1283"/>
    <w:rsid w:val="006C66D8"/>
    <w:rsid w:val="006D1E24"/>
    <w:rsid w:val="006D6EE1"/>
    <w:rsid w:val="006E1417"/>
    <w:rsid w:val="006F6A2C"/>
    <w:rsid w:val="00710201"/>
    <w:rsid w:val="007342B5"/>
    <w:rsid w:val="00734A5B"/>
    <w:rsid w:val="00744E76"/>
    <w:rsid w:val="00757D40"/>
    <w:rsid w:val="00781F0F"/>
    <w:rsid w:val="0078440B"/>
    <w:rsid w:val="0078727C"/>
    <w:rsid w:val="0079049D"/>
    <w:rsid w:val="00793DC5"/>
    <w:rsid w:val="007B18D8"/>
    <w:rsid w:val="007C095F"/>
    <w:rsid w:val="008028A4"/>
    <w:rsid w:val="00813245"/>
    <w:rsid w:val="0085126A"/>
    <w:rsid w:val="008600C0"/>
    <w:rsid w:val="008768CA"/>
    <w:rsid w:val="00877EF9"/>
    <w:rsid w:val="00880559"/>
    <w:rsid w:val="00881E27"/>
    <w:rsid w:val="00881EC1"/>
    <w:rsid w:val="008A5767"/>
    <w:rsid w:val="008B5306"/>
    <w:rsid w:val="008D2E4D"/>
    <w:rsid w:val="008E2042"/>
    <w:rsid w:val="008F6371"/>
    <w:rsid w:val="00900C23"/>
    <w:rsid w:val="0090271F"/>
    <w:rsid w:val="00902DB9"/>
    <w:rsid w:val="0090466A"/>
    <w:rsid w:val="00912FB1"/>
    <w:rsid w:val="00933FE2"/>
    <w:rsid w:val="00936071"/>
    <w:rsid w:val="00940212"/>
    <w:rsid w:val="00942EC2"/>
    <w:rsid w:val="00961B32"/>
    <w:rsid w:val="00966B06"/>
    <w:rsid w:val="00970DB3"/>
    <w:rsid w:val="00974BB0"/>
    <w:rsid w:val="00997E40"/>
    <w:rsid w:val="009A0AF3"/>
    <w:rsid w:val="009B07CD"/>
    <w:rsid w:val="009C19E9"/>
    <w:rsid w:val="009D6D40"/>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9671C"/>
    <w:rsid w:val="00AA1553"/>
    <w:rsid w:val="00AB24A1"/>
    <w:rsid w:val="00AC45E5"/>
    <w:rsid w:val="00AE5297"/>
    <w:rsid w:val="00AF647F"/>
    <w:rsid w:val="00B03B02"/>
    <w:rsid w:val="00B05962"/>
    <w:rsid w:val="00B07192"/>
    <w:rsid w:val="00B15449"/>
    <w:rsid w:val="00B27303"/>
    <w:rsid w:val="00B41988"/>
    <w:rsid w:val="00B445E4"/>
    <w:rsid w:val="00B46A24"/>
    <w:rsid w:val="00B471B0"/>
    <w:rsid w:val="00B47FD1"/>
    <w:rsid w:val="00B516BB"/>
    <w:rsid w:val="00BA2005"/>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B3AC4"/>
    <w:rsid w:val="00CD4C7B"/>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7A03"/>
    <w:rsid w:val="00DB0DB8"/>
    <w:rsid w:val="00DB1818"/>
    <w:rsid w:val="00DB1FFA"/>
    <w:rsid w:val="00DC309B"/>
    <w:rsid w:val="00DC4DA2"/>
    <w:rsid w:val="00DC6CE3"/>
    <w:rsid w:val="00DD5D8D"/>
    <w:rsid w:val="00DF504D"/>
    <w:rsid w:val="00E345F7"/>
    <w:rsid w:val="00E35F91"/>
    <w:rsid w:val="00E471CF"/>
    <w:rsid w:val="00E534F9"/>
    <w:rsid w:val="00E61093"/>
    <w:rsid w:val="00E62835"/>
    <w:rsid w:val="00E77645"/>
    <w:rsid w:val="00E81A37"/>
    <w:rsid w:val="00E83697"/>
    <w:rsid w:val="00EA009D"/>
    <w:rsid w:val="00EA5D3A"/>
    <w:rsid w:val="00EC4A25"/>
    <w:rsid w:val="00ED521F"/>
    <w:rsid w:val="00EE27D4"/>
    <w:rsid w:val="00EE6037"/>
    <w:rsid w:val="00EF49D4"/>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169"/>
    <o:shapelayout v:ext="edit">
      <o:idmap v:ext="edit" data="1"/>
    </o:shapelayout>
  </w:shapeDefaults>
  <w:decimalSymbol w:val=","/>
  <w:listSeparator w:val=";"/>
  <w14:docId w14:val="69744DE5"/>
  <w15:chartTrackingRefBased/>
  <w15:docId w15:val="{31AAC2C0-E1DE-4B1A-A4A0-7D21BA021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 w:type="character" w:styleId="UnresolvedMention">
    <w:name w:val="Unresolved Mention"/>
    <w:basedOn w:val="DefaultParagraphFont"/>
    <w:rsid w:val="00E345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DynaReport/38331.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03bis/Docs/R2-181393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DynaReport/38331.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03bis/Docs/R2-18148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5AIRPNAIUNRU-859666464-3921</_dlc_DocId>
    <_dlc_DocIdUrl xmlns="71c5aaf6-e6ce-465b-b873-5148d2a4c105">
      <Url>https://nokia.sharepoint.com/sites/c5g/e2earch/_layouts/15/DocIdRedir.aspx?ID=5AIRPNAIUNRU-859666464-3921</Url>
      <Description>5AIRPNAIUNRU-859666464-3921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FA119-EBA7-428F-A17F-DA01B9B07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58EC64CB-B6B7-4A20-BD38-E7BEAD3E315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C2D94EE6-CE1B-4B56-B6BE-E7D0D0F5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782</Words>
  <Characters>4718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dc:description/>
  <cp:lastModifiedBy>Nokia, Nokia Shanghai Bell</cp:lastModifiedBy>
  <cp:revision>2</cp:revision>
  <dcterms:created xsi:type="dcterms:W3CDTF">2018-09-27T14:11:00Z</dcterms:created>
  <dcterms:modified xsi:type="dcterms:W3CDTF">2018-09-27T14:11:00Z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87058ee4-10cd-40f0-a0a2-9385383ece67</vt:lpwstr>
  </property>
</Properties>
</file>